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/>
        <w:jc w:val="center"/>
        <w:textAlignment w:val="baseline"/>
        <w:rPr>
          <w:rFonts w:hint="eastAsia" w:asciiTheme="majorEastAsia" w:hAnsiTheme="majorEastAsia" w:eastAsiaTheme="majorEastAsia" w:cstheme="majorEastAsia"/>
          <w:b/>
          <w:bCs/>
          <w:snapToGrid/>
          <w:color w:val="000000"/>
          <w:kern w:val="2"/>
          <w:sz w:val="44"/>
          <w:szCs w:val="44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/>
        <w:jc w:val="center"/>
        <w:textAlignment w:val="baseline"/>
        <w:rPr>
          <w:rFonts w:hint="eastAsia" w:asciiTheme="majorEastAsia" w:hAnsiTheme="majorEastAsia" w:eastAsiaTheme="majorEastAsia" w:cstheme="majorEastAsia"/>
          <w:b/>
          <w:bCs/>
          <w:snapToGrid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napToGrid/>
          <w:color w:val="000000"/>
          <w:kern w:val="2"/>
          <w:sz w:val="44"/>
          <w:szCs w:val="44"/>
          <w:lang w:val="en-US" w:eastAsia="zh-CN" w:bidi="ar-SA"/>
        </w:rPr>
        <w:t>珠海科技学院学生赴国（境）外交流学习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/>
        <w:jc w:val="center"/>
        <w:textAlignment w:val="baseline"/>
        <w:rPr>
          <w:rFonts w:hint="eastAsia" w:asciiTheme="majorEastAsia" w:hAnsiTheme="majorEastAsia" w:eastAsiaTheme="majorEastAsia" w:cstheme="majorEastAsia"/>
          <w:b/>
          <w:bCs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snapToGrid/>
          <w:color w:val="000000"/>
          <w:kern w:val="2"/>
          <w:sz w:val="44"/>
          <w:szCs w:val="44"/>
          <w:lang w:val="en-US" w:eastAsia="zh-CN" w:bidi="ar-SA"/>
        </w:rPr>
        <w:t>课程成绩认定（转换）对照表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 w:firstLine="640" w:firstLineChars="200"/>
        <w:jc w:val="both"/>
        <w:textAlignment w:val="baseline"/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 w:firstLine="640" w:firstLineChars="200"/>
        <w:jc w:val="both"/>
        <w:textAlignment w:val="baseline"/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一、当</w:t>
      </w:r>
      <w:r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交流学校</w:t>
      </w:r>
      <w:r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采用如下方式记载成绩，需转换为我校的百分制时，</w:t>
      </w:r>
      <w:r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则按照以下对应关系转换后予以记载。</w:t>
      </w:r>
    </w:p>
    <w:tbl>
      <w:tblPr>
        <w:tblStyle w:val="7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1173"/>
        <w:gridCol w:w="1162"/>
        <w:gridCol w:w="2912"/>
        <w:gridCol w:w="1081"/>
        <w:gridCol w:w="1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751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交流学校成绩</w:t>
            </w:r>
          </w:p>
        </w:tc>
        <w:tc>
          <w:tcPr>
            <w:tcW w:w="122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对应我校百分制成绩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类型1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类型2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类型3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类型4</w:t>
            </w: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类型5</w:t>
            </w:r>
          </w:p>
        </w:tc>
        <w:tc>
          <w:tcPr>
            <w:tcW w:w="12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A+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优秀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（High Distinction）</w:t>
            </w: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A-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B+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良好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（Distinction）</w:t>
            </w: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合格（P）</w:t>
            </w: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B-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C+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（Credit）</w:t>
            </w: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C-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D+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（Pass）</w:t>
            </w: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D-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F</w:t>
            </w:r>
          </w:p>
        </w:tc>
        <w:tc>
          <w:tcPr>
            <w:tcW w:w="11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F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不及格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（Fail）</w:t>
            </w:r>
          </w:p>
        </w:tc>
        <w:tc>
          <w:tcPr>
            <w:tcW w:w="10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不合格（F）</w:t>
            </w:r>
          </w:p>
        </w:tc>
        <w:tc>
          <w:tcPr>
            <w:tcW w:w="1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50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 w:firstLine="640" w:firstLineChars="200"/>
        <w:jc w:val="both"/>
        <w:textAlignment w:val="baseline"/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若</w:t>
      </w:r>
      <w:r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交流学校</w:t>
      </w:r>
      <w:r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采用分数制且标准与我校不同，需要转换为我校百分制的，可根据其对应的等级制转换为我校的百分制。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right="91" w:rightChars="0" w:firstLine="640" w:firstLineChars="200"/>
        <w:jc w:val="both"/>
        <w:textAlignment w:val="baseline"/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二、当</w:t>
      </w:r>
      <w:r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交流学校</w:t>
      </w:r>
      <w:r>
        <w:rPr>
          <w:rFonts w:hint="eastAsia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采用如下方式记载成绩，需转换为我校的等级制时，</w:t>
      </w:r>
      <w:r>
        <w:rPr>
          <w:rFonts w:hint="default" w:ascii="仿宋" w:hAnsi="仿宋" w:eastAsia="仿宋" w:cs="Times New Roman"/>
          <w:snapToGrid/>
          <w:color w:val="000000"/>
          <w:kern w:val="2"/>
          <w:sz w:val="32"/>
          <w:szCs w:val="32"/>
          <w:lang w:val="en-US" w:eastAsia="zh-CN" w:bidi="ar-SA"/>
        </w:rPr>
        <w:t>则按照以下对应关系转换后予以记载。</w:t>
      </w:r>
    </w:p>
    <w:tbl>
      <w:tblPr>
        <w:tblStyle w:val="7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170"/>
        <w:gridCol w:w="1152"/>
        <w:gridCol w:w="2850"/>
        <w:gridCol w:w="1264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60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交流学校成绩</w:t>
            </w:r>
          </w:p>
        </w:tc>
        <w:tc>
          <w:tcPr>
            <w:tcW w:w="11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对应我校等级制成绩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类型1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类型2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类型3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类型4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类型5</w:t>
            </w: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6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A+</w:t>
            </w: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优秀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（High Distinction）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A-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80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B+</w:t>
            </w: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良好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（Distinction）</w:t>
            </w:r>
          </w:p>
        </w:tc>
        <w:tc>
          <w:tcPr>
            <w:tcW w:w="12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（P）</w:t>
            </w:r>
          </w:p>
        </w:tc>
        <w:tc>
          <w:tcPr>
            <w:tcW w:w="11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B-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70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C+</w:t>
            </w: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（Credit）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C-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60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D+</w:t>
            </w:r>
          </w:p>
        </w:tc>
        <w:tc>
          <w:tcPr>
            <w:tcW w:w="2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（Pass）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D-</w:t>
            </w:r>
          </w:p>
        </w:tc>
        <w:tc>
          <w:tcPr>
            <w:tcW w:w="2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F</w:t>
            </w:r>
          </w:p>
        </w:tc>
        <w:tc>
          <w:tcPr>
            <w:tcW w:w="11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F</w:t>
            </w:r>
          </w:p>
        </w:tc>
        <w:tc>
          <w:tcPr>
            <w:tcW w:w="2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不及格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（Fail）</w:t>
            </w: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不合格（F）</w:t>
            </w:r>
          </w:p>
        </w:tc>
        <w:tc>
          <w:tcPr>
            <w:tcW w:w="1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不及格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jMGRjZjY5NWFmMmE1YmQ3YjZjNGU5NzRmYjc2OGIifQ=="/>
  </w:docVars>
  <w:rsids>
    <w:rsidRoot w:val="00000000"/>
    <w:rsid w:val="02C40969"/>
    <w:rsid w:val="06884591"/>
    <w:rsid w:val="15D97BC8"/>
    <w:rsid w:val="2C057D89"/>
    <w:rsid w:val="30EF4125"/>
    <w:rsid w:val="36350803"/>
    <w:rsid w:val="375E1928"/>
    <w:rsid w:val="48684A8C"/>
    <w:rsid w:val="48D07B0F"/>
    <w:rsid w:val="4C0A6876"/>
    <w:rsid w:val="52670912"/>
    <w:rsid w:val="66443587"/>
    <w:rsid w:val="7CC3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2025-04-24T00:56:00Z</dcterms:created>
  <dc:creator>HP</dc:creator>
  <cp:lastModifiedBy>高书云</cp:lastModifiedBy>
  <cp:lastPrinted>2025-04-24T02:52:00Z</cp:lastPrinted>
  <dcterms:modified xsi:type="dcterms:W3CDTF">2025-06-10T02:03:22Z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697054B3E1A74D9E84C832D5A4BDDB90_12</vt:lpwstr>
  </property>
</Properties>
</file>